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4456"/>
      </w:tblGrid>
      <w:tr w:rsidR="005262A7" w:rsidRPr="00625283" w14:paraId="4B47309D" w14:textId="77777777" w:rsidTr="00977D58">
        <w:tc>
          <w:tcPr>
            <w:tcW w:w="9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2B4F" w14:textId="03E18CCE" w:rsidR="005262A7" w:rsidRPr="006D63FB" w:rsidRDefault="005262A7" w:rsidP="005262A7">
            <w:pPr>
              <w:ind w:right="2"/>
              <w:jc w:val="center"/>
              <w:rPr>
                <w:rFonts w:eastAsia="Times New Roman"/>
                <w:b/>
                <w:bCs/>
                <w:sz w:val="24"/>
                <w:szCs w:val="24"/>
                <w:lang w:val="ro-RO"/>
              </w:rPr>
            </w:pPr>
            <w:bookmarkStart w:id="0" w:name="_Hlk73883313"/>
            <w:r w:rsidRPr="006D63FB">
              <w:rPr>
                <w:rFonts w:eastAsia="Times New Roman"/>
                <w:b/>
                <w:bCs/>
                <w:sz w:val="24"/>
                <w:szCs w:val="24"/>
                <w:lang w:val="ro-RO"/>
              </w:rPr>
              <w:t xml:space="preserve">Anexa </w:t>
            </w:r>
            <w:r w:rsidR="00405891">
              <w:rPr>
                <w:rFonts w:eastAsia="Times New Roman"/>
                <w:b/>
                <w:bCs/>
                <w:sz w:val="24"/>
                <w:szCs w:val="24"/>
                <w:lang w:val="ro-RO"/>
              </w:rPr>
              <w:t>3</w:t>
            </w:r>
            <w:r w:rsidRPr="006D63FB">
              <w:rPr>
                <w:rFonts w:eastAsia="Times New Roman"/>
                <w:b/>
                <w:bCs/>
                <w:sz w:val="24"/>
                <w:szCs w:val="24"/>
                <w:lang w:val="ro-RO"/>
              </w:rPr>
              <w:t>.  Fazele incendiilor de pădure: definire, manifestare, factori determinanți</w:t>
            </w:r>
          </w:p>
          <w:bookmarkEnd w:id="0"/>
          <w:p w14:paraId="5FD36143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</w:p>
        </w:tc>
      </w:tr>
      <w:tr w:rsidR="005262A7" w:rsidRPr="00625283" w14:paraId="42A1DD27" w14:textId="77777777" w:rsidTr="00977D58">
        <w:tc>
          <w:tcPr>
            <w:tcW w:w="2660" w:type="dxa"/>
            <w:tcBorders>
              <w:top w:val="single" w:sz="4" w:space="0" w:color="auto"/>
            </w:tcBorders>
          </w:tcPr>
          <w:p w14:paraId="0220FF22" w14:textId="55009B01" w:rsidR="005262A7" w:rsidRPr="00695DC1" w:rsidRDefault="005262A7" w:rsidP="00695DC1">
            <w:pPr>
              <w:ind w:right="2"/>
              <w:jc w:val="center"/>
              <w:rPr>
                <w:b/>
                <w:bCs/>
                <w:lang w:val="ro-RO"/>
              </w:rPr>
            </w:pPr>
            <w:r w:rsidRPr="00695DC1">
              <w:rPr>
                <w:b/>
                <w:bCs/>
                <w:lang w:val="ro-RO"/>
              </w:rPr>
              <w:t>Definire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6E87EB6" w14:textId="77777777" w:rsidR="005262A7" w:rsidRPr="00695DC1" w:rsidRDefault="005262A7" w:rsidP="00695DC1">
            <w:pPr>
              <w:ind w:right="2"/>
              <w:jc w:val="center"/>
              <w:rPr>
                <w:b/>
                <w:bCs/>
                <w:lang w:val="ro-RO"/>
              </w:rPr>
            </w:pPr>
            <w:r w:rsidRPr="00695DC1">
              <w:rPr>
                <w:b/>
                <w:bCs/>
                <w:lang w:val="ro-RO"/>
              </w:rPr>
              <w:t>Manifestare</w:t>
            </w:r>
          </w:p>
        </w:tc>
        <w:tc>
          <w:tcPr>
            <w:tcW w:w="4456" w:type="dxa"/>
            <w:tcBorders>
              <w:top w:val="single" w:sz="4" w:space="0" w:color="auto"/>
            </w:tcBorders>
          </w:tcPr>
          <w:p w14:paraId="6051F145" w14:textId="77777777" w:rsidR="005262A7" w:rsidRPr="00695DC1" w:rsidRDefault="005262A7" w:rsidP="00695DC1">
            <w:pPr>
              <w:ind w:right="2"/>
              <w:jc w:val="center"/>
              <w:rPr>
                <w:b/>
                <w:bCs/>
                <w:lang w:val="ro-RO"/>
              </w:rPr>
            </w:pPr>
            <w:r w:rsidRPr="00695DC1">
              <w:rPr>
                <w:b/>
                <w:bCs/>
                <w:lang w:val="ro-RO"/>
              </w:rPr>
              <w:t>Factori determinanți</w:t>
            </w:r>
          </w:p>
        </w:tc>
      </w:tr>
      <w:tr w:rsidR="005262A7" w:rsidRPr="00625283" w14:paraId="68D16C6F" w14:textId="77777777" w:rsidTr="003A39E8">
        <w:tc>
          <w:tcPr>
            <w:tcW w:w="9242" w:type="dxa"/>
            <w:gridSpan w:val="3"/>
          </w:tcPr>
          <w:p w14:paraId="56ADE906" w14:textId="77777777" w:rsidR="005262A7" w:rsidRPr="00625283" w:rsidRDefault="005262A7" w:rsidP="005262A7">
            <w:pPr>
              <w:numPr>
                <w:ilvl w:val="0"/>
                <w:numId w:val="12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Inițierea incendiului</w:t>
            </w:r>
          </w:p>
        </w:tc>
      </w:tr>
      <w:tr w:rsidR="005262A7" w:rsidRPr="00625283" w14:paraId="3F16AE7C" w14:textId="77777777" w:rsidTr="003A39E8">
        <w:tc>
          <w:tcPr>
            <w:tcW w:w="2660" w:type="dxa"/>
          </w:tcPr>
          <w:p w14:paraId="4539D5AF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 xml:space="preserve">Inițierea incendiului este perioada de timp cuprinsă între momentul punerii în contact direct a elementelor triunghiului de foc (materialul combustibil, oxigenul și sursa de aprindere) până în momentul în care arderea se poate autoîntreține. </w:t>
            </w:r>
          </w:p>
        </w:tc>
        <w:tc>
          <w:tcPr>
            <w:tcW w:w="2126" w:type="dxa"/>
          </w:tcPr>
          <w:p w14:paraId="56C781F9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Reprezintă momentul ,,zero</w:t>
            </w:r>
            <w:r w:rsidRPr="00625283">
              <w:t>”</w:t>
            </w:r>
            <w:r w:rsidRPr="00625283">
              <w:rPr>
                <w:lang w:val="ro-RO"/>
              </w:rPr>
              <w:t xml:space="preserve"> în manifestarea incendiului.</w:t>
            </w:r>
          </w:p>
        </w:tc>
        <w:tc>
          <w:tcPr>
            <w:tcW w:w="4456" w:type="dxa"/>
          </w:tcPr>
          <w:p w14:paraId="3ED220C6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 xml:space="preserve">condițiile meteorologice determină în mod hotărâtor atât inițierea cât şi dezvoltarea unui incendiu de pădure; </w:t>
            </w:r>
          </w:p>
          <w:p w14:paraId="1E401450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>apropierea de zonele locuite și de terenurile agricole, îndeosebi din cauza practicilor de curățare prin incendiere a terenurilor;</w:t>
            </w:r>
          </w:p>
          <w:p w14:paraId="1B580660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>prezența factorului antropic în fondul forestier;</w:t>
            </w:r>
          </w:p>
          <w:p w14:paraId="1AF94507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 xml:space="preserve">căile de comunicații, prin tranzitarea acestora de către oameni; </w:t>
            </w:r>
          </w:p>
          <w:p w14:paraId="67D9E133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>rețelele de energie electrică din fondul forestier;</w:t>
            </w:r>
          </w:p>
          <w:p w14:paraId="2CA1628E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>structura geologică a masivelor muntoase, prin predispoziția la descărcările electrice atmosferice;</w:t>
            </w:r>
          </w:p>
          <w:p w14:paraId="464EB32F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 xml:space="preserve">expoziția terenului, prin microclimatul creat prin expunerea preponderentă la soare; </w:t>
            </w:r>
          </w:p>
          <w:p w14:paraId="543CE47F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•</w:t>
            </w:r>
            <w:r w:rsidRPr="00625283">
              <w:rPr>
                <w:lang w:val="ro-RO"/>
              </w:rPr>
              <w:tab/>
              <w:t>panta terenului, prin modul de manifestare a curenţilor de aer;</w:t>
            </w:r>
          </w:p>
        </w:tc>
      </w:tr>
      <w:tr w:rsidR="005262A7" w:rsidRPr="00625283" w14:paraId="3707A319" w14:textId="77777777" w:rsidTr="003A39E8">
        <w:tc>
          <w:tcPr>
            <w:tcW w:w="9242" w:type="dxa"/>
            <w:gridSpan w:val="3"/>
          </w:tcPr>
          <w:p w14:paraId="6430966C" w14:textId="77777777" w:rsidR="005262A7" w:rsidRPr="00625283" w:rsidRDefault="005262A7" w:rsidP="005262A7">
            <w:pPr>
              <w:numPr>
                <w:ilvl w:val="0"/>
                <w:numId w:val="12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Dezvoltarea incendiului</w:t>
            </w:r>
          </w:p>
        </w:tc>
      </w:tr>
      <w:tr w:rsidR="005262A7" w:rsidRPr="00625283" w14:paraId="215548A6" w14:textId="77777777" w:rsidTr="003A39E8">
        <w:tc>
          <w:tcPr>
            <w:tcW w:w="2660" w:type="dxa"/>
          </w:tcPr>
          <w:p w14:paraId="3B08C535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Dezvoltarea incendiului reprezintă perioada de timp scursă din momentul în care arderea se autoîntreține și până la momentul atingerii amplitudinii maxime în spațiu.</w:t>
            </w:r>
          </w:p>
        </w:tc>
        <w:tc>
          <w:tcPr>
            <w:tcW w:w="2126" w:type="dxa"/>
          </w:tcPr>
          <w:p w14:paraId="5A8254E6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În această etapă incendiul se dezvoltă sub toate formele și tipurile sale, atingând maximul suprafeței afectate.</w:t>
            </w:r>
          </w:p>
        </w:tc>
        <w:tc>
          <w:tcPr>
            <w:tcW w:w="4456" w:type="dxa"/>
          </w:tcPr>
          <w:p w14:paraId="54FFE2CE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Cantitatea și tipul de material combustibil existent;</w:t>
            </w:r>
          </w:p>
          <w:p w14:paraId="77ACDE36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Factorii meteorologici:</w:t>
            </w:r>
          </w:p>
          <w:p w14:paraId="3DD5B49B" w14:textId="77777777" w:rsidR="005262A7" w:rsidRPr="00625283" w:rsidRDefault="005262A7" w:rsidP="005262A7">
            <w:pPr>
              <w:numPr>
                <w:ilvl w:val="1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Curenții de aer;</w:t>
            </w:r>
          </w:p>
          <w:p w14:paraId="4A7E62DE" w14:textId="77777777" w:rsidR="005262A7" w:rsidRPr="00625283" w:rsidRDefault="005262A7" w:rsidP="005262A7">
            <w:pPr>
              <w:numPr>
                <w:ilvl w:val="1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Precipitații și umiditate;</w:t>
            </w:r>
          </w:p>
          <w:p w14:paraId="6DA3C034" w14:textId="77777777" w:rsidR="005262A7" w:rsidRPr="00625283" w:rsidRDefault="005262A7" w:rsidP="005262A7">
            <w:pPr>
              <w:numPr>
                <w:ilvl w:val="1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Temperatura ambiantă;</w:t>
            </w:r>
          </w:p>
          <w:p w14:paraId="3E1177C3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Momentul observării și anunțării incendiului;</w:t>
            </w:r>
          </w:p>
          <w:p w14:paraId="3F2C4AD5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Timpul operativ de răspuns;</w:t>
            </w:r>
          </w:p>
          <w:p w14:paraId="213FA2CD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Obstacolele existente în fața frontului incendiului (stânci golașe, râuri, drumuri, benzi izolatoare, etc);</w:t>
            </w:r>
          </w:p>
        </w:tc>
      </w:tr>
      <w:tr w:rsidR="005262A7" w:rsidRPr="00625283" w14:paraId="67A0C3BB" w14:textId="77777777" w:rsidTr="003A39E8">
        <w:tc>
          <w:tcPr>
            <w:tcW w:w="9242" w:type="dxa"/>
            <w:gridSpan w:val="3"/>
          </w:tcPr>
          <w:p w14:paraId="5FD0C84B" w14:textId="77777777" w:rsidR="005262A7" w:rsidRPr="00625283" w:rsidRDefault="005262A7" w:rsidP="005262A7">
            <w:pPr>
              <w:numPr>
                <w:ilvl w:val="0"/>
                <w:numId w:val="12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Localizarea și regresia incendiului</w:t>
            </w:r>
          </w:p>
        </w:tc>
      </w:tr>
      <w:tr w:rsidR="005262A7" w:rsidRPr="00625283" w14:paraId="33E393D5" w14:textId="77777777" w:rsidTr="003A39E8">
        <w:tc>
          <w:tcPr>
            <w:tcW w:w="2660" w:type="dxa"/>
          </w:tcPr>
          <w:p w14:paraId="1D81B8A6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Localizarea incendiului reprezintă momentul în care s-a oprit dezvoltarea incendiului, atât în front cât și în suprafață;</w:t>
            </w:r>
          </w:p>
          <w:p w14:paraId="1495785F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Regresia incendiului reprezintă perioada de timp scursă între localizarea incendiului și lichidarea acestuia.</w:t>
            </w:r>
          </w:p>
        </w:tc>
        <w:tc>
          <w:tcPr>
            <w:tcW w:w="2126" w:type="dxa"/>
          </w:tcPr>
          <w:p w14:paraId="4537939A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La momentul localizării se oprește dezvoltarea incendiului, acesta  având maximul de dezvoltare.</w:t>
            </w:r>
          </w:p>
          <w:p w14:paraId="0026528A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Perioada de regresie marchează reducerea focarelor și frontului flăcării.</w:t>
            </w:r>
          </w:p>
        </w:tc>
        <w:tc>
          <w:tcPr>
            <w:tcW w:w="4456" w:type="dxa"/>
          </w:tcPr>
          <w:p w14:paraId="59393892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Nivelul resurselor mobilizate raportat la nivelul de dezvoltare a incendiului, coroborat cu factorii favorizanți în dezvoltarea acestuia, în principal curenții de aer.</w:t>
            </w:r>
          </w:p>
          <w:p w14:paraId="033C1AFA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Eficiența operațiunilor de intervenție;</w:t>
            </w:r>
          </w:p>
        </w:tc>
      </w:tr>
      <w:tr w:rsidR="005262A7" w:rsidRPr="00625283" w14:paraId="098DB9E8" w14:textId="77777777" w:rsidTr="003A39E8">
        <w:tc>
          <w:tcPr>
            <w:tcW w:w="9242" w:type="dxa"/>
            <w:gridSpan w:val="3"/>
          </w:tcPr>
          <w:p w14:paraId="3CAB0FE6" w14:textId="77777777" w:rsidR="005262A7" w:rsidRPr="00625283" w:rsidRDefault="005262A7" w:rsidP="005262A7">
            <w:pPr>
              <w:numPr>
                <w:ilvl w:val="0"/>
                <w:numId w:val="12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Lichidarea incendiului</w:t>
            </w:r>
          </w:p>
        </w:tc>
      </w:tr>
      <w:tr w:rsidR="005262A7" w:rsidRPr="00625283" w14:paraId="3519E375" w14:textId="77777777" w:rsidTr="003A39E8">
        <w:tc>
          <w:tcPr>
            <w:tcW w:w="2660" w:type="dxa"/>
          </w:tcPr>
          <w:p w14:paraId="1D21BA79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Lichidarea incendiului presupune momentul opririi arderii, prin suprimarea tuturor focarelor vizibile și ascunse, apropiate și din adâncime.</w:t>
            </w:r>
          </w:p>
        </w:tc>
        <w:tc>
          <w:tcPr>
            <w:tcW w:w="2126" w:type="dxa"/>
          </w:tcPr>
          <w:p w14:paraId="31FB687C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La acest moment se oprește reacția de oxidare prin suprimarea aportului cel puțin a unui element din triunghiul de foc.</w:t>
            </w:r>
          </w:p>
        </w:tc>
        <w:tc>
          <w:tcPr>
            <w:tcW w:w="4456" w:type="dxa"/>
          </w:tcPr>
          <w:p w14:paraId="14E41D30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Identificarea tuturor focarelor de ardere;</w:t>
            </w:r>
          </w:p>
          <w:p w14:paraId="0E408080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Asigurarea că a fost întrerupt definitiv procesul de ardere:</w:t>
            </w:r>
          </w:p>
          <w:p w14:paraId="5B8E5B9B" w14:textId="77777777" w:rsidR="005262A7" w:rsidRPr="00625283" w:rsidRDefault="005262A7" w:rsidP="005262A7">
            <w:pPr>
              <w:numPr>
                <w:ilvl w:val="1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Nu mai există jar;</w:t>
            </w:r>
          </w:p>
          <w:p w14:paraId="7F5D307B" w14:textId="77777777" w:rsidR="005262A7" w:rsidRPr="00625283" w:rsidRDefault="005262A7" w:rsidP="005262A7">
            <w:pPr>
              <w:numPr>
                <w:ilvl w:val="1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Temperatura din zona de ardere a scăzut sub valoarea reaprinderii.</w:t>
            </w:r>
          </w:p>
        </w:tc>
      </w:tr>
      <w:tr w:rsidR="005262A7" w:rsidRPr="00625283" w14:paraId="21D65F70" w14:textId="77777777" w:rsidTr="003A39E8">
        <w:tc>
          <w:tcPr>
            <w:tcW w:w="9242" w:type="dxa"/>
            <w:gridSpan w:val="3"/>
          </w:tcPr>
          <w:p w14:paraId="3D37D440" w14:textId="77777777" w:rsidR="005262A7" w:rsidRPr="00625283" w:rsidRDefault="005262A7" w:rsidP="005262A7">
            <w:pPr>
              <w:numPr>
                <w:ilvl w:val="0"/>
                <w:numId w:val="12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Supravegherea post-incendiu</w:t>
            </w:r>
          </w:p>
        </w:tc>
      </w:tr>
      <w:tr w:rsidR="005262A7" w:rsidRPr="00625283" w14:paraId="25D56465" w14:textId="77777777" w:rsidTr="003A39E8">
        <w:tc>
          <w:tcPr>
            <w:tcW w:w="2660" w:type="dxa"/>
          </w:tcPr>
          <w:p w14:paraId="38180A67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 xml:space="preserve">Supravegherea post-incendiu reprezintă activitatea de monitorizare desfășurată la </w:t>
            </w:r>
            <w:r w:rsidRPr="00625283">
              <w:rPr>
                <w:lang w:val="ro-RO"/>
              </w:rPr>
              <w:lastRenderedPageBreak/>
              <w:t xml:space="preserve">locul incendiului, după lichidarea acestuia, până ce există certitudinea că a fost eliminat riscul reaprinderii. </w:t>
            </w:r>
          </w:p>
        </w:tc>
        <w:tc>
          <w:tcPr>
            <w:tcW w:w="2126" w:type="dxa"/>
          </w:tcPr>
          <w:p w14:paraId="0D53EC89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lastRenderedPageBreak/>
              <w:t xml:space="preserve">Se realizează de către proprietar / administrator / </w:t>
            </w:r>
            <w:r w:rsidRPr="00625283">
              <w:rPr>
                <w:lang w:val="ro-RO"/>
              </w:rPr>
              <w:lastRenderedPageBreak/>
              <w:t>silvicultori sau pompieri.</w:t>
            </w:r>
          </w:p>
          <w:p w14:paraId="67A5F273" w14:textId="77777777" w:rsidR="005262A7" w:rsidRPr="00625283" w:rsidRDefault="005262A7" w:rsidP="003A39E8">
            <w:pPr>
              <w:ind w:right="2"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Durata acțiunii este direct proporțională cu tipul, suprafața incendiului și condițiile meteorologice.</w:t>
            </w:r>
          </w:p>
        </w:tc>
        <w:tc>
          <w:tcPr>
            <w:tcW w:w="4456" w:type="dxa"/>
          </w:tcPr>
          <w:p w14:paraId="645305D5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lastRenderedPageBreak/>
              <w:t>De către cel puțin doi oameni / un binom;</w:t>
            </w:r>
          </w:p>
          <w:p w14:paraId="6013B756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Să existe la locul acțiunii inclusiv resurse tehnice de intervenție;</w:t>
            </w:r>
          </w:p>
          <w:p w14:paraId="6F6D3ADA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lastRenderedPageBreak/>
              <w:t>Observarea semnelor înregistrate pe sol, în cazul incendiilor subterane;</w:t>
            </w:r>
          </w:p>
          <w:p w14:paraId="4C77AA84" w14:textId="77777777" w:rsidR="005262A7" w:rsidRPr="00625283" w:rsidRDefault="005262A7" w:rsidP="005262A7">
            <w:pPr>
              <w:numPr>
                <w:ilvl w:val="0"/>
                <w:numId w:val="13"/>
              </w:numPr>
              <w:ind w:right="2"/>
              <w:contextualSpacing/>
              <w:jc w:val="both"/>
              <w:rPr>
                <w:lang w:val="ro-RO"/>
              </w:rPr>
            </w:pPr>
            <w:r w:rsidRPr="00625283">
              <w:rPr>
                <w:lang w:val="ro-RO"/>
              </w:rPr>
              <w:t>Se desfășoară continuu, pe toată perioada, prin observare, patrulare, scotocire.</w:t>
            </w:r>
          </w:p>
        </w:tc>
      </w:tr>
    </w:tbl>
    <w:p w14:paraId="2742DDB0" w14:textId="77777777" w:rsidR="005262A7" w:rsidRDefault="005262A7">
      <w:pPr>
        <w:rPr>
          <w:rFonts w:ascii="Times New Roman" w:hAnsi="Times New Roman" w:cs="Times New Roman"/>
          <w:sz w:val="20"/>
          <w:szCs w:val="20"/>
        </w:rPr>
      </w:pPr>
    </w:p>
    <w:p w14:paraId="59FCB257" w14:textId="77777777" w:rsidR="00595FDE" w:rsidRDefault="00595FDE" w:rsidP="00595FDE">
      <w:pPr>
        <w:rPr>
          <w:rFonts w:ascii="Times New Roman" w:hAnsi="Times New Roman" w:cs="Times New Roman"/>
          <w:sz w:val="20"/>
          <w:szCs w:val="20"/>
        </w:rPr>
      </w:pPr>
    </w:p>
    <w:p w14:paraId="71BCB0AE" w14:textId="77777777" w:rsidR="00AE2E8F" w:rsidRPr="00AE2E8F" w:rsidRDefault="00AE2E8F" w:rsidP="00AE2E8F">
      <w:pPr>
        <w:tabs>
          <w:tab w:val="left" w:pos="3404"/>
        </w:tabs>
        <w:rPr>
          <w:rFonts w:ascii="Times New Roman" w:hAnsi="Times New Roman" w:cs="Times New Roman"/>
          <w:sz w:val="20"/>
          <w:szCs w:val="20"/>
        </w:rPr>
      </w:pPr>
    </w:p>
    <w:sectPr w:rsidR="00AE2E8F" w:rsidRPr="00AE2E8F" w:rsidSect="00595FD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15F5"/>
    <w:multiLevelType w:val="hybridMultilevel"/>
    <w:tmpl w:val="0D98C1CC"/>
    <w:lvl w:ilvl="0" w:tplc="040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1" w15:restartNumberingAfterBreak="0">
    <w:nsid w:val="078C4353"/>
    <w:multiLevelType w:val="hybridMultilevel"/>
    <w:tmpl w:val="0396FB3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03A3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842CD3"/>
    <w:multiLevelType w:val="hybridMultilevel"/>
    <w:tmpl w:val="C8F607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81612"/>
    <w:multiLevelType w:val="hybridMultilevel"/>
    <w:tmpl w:val="BC4407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2EE5"/>
    <w:multiLevelType w:val="hybridMultilevel"/>
    <w:tmpl w:val="6A3AB6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7515"/>
    <w:multiLevelType w:val="hybridMultilevel"/>
    <w:tmpl w:val="D69CA75E"/>
    <w:lvl w:ilvl="0" w:tplc="0418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2275B4D"/>
    <w:multiLevelType w:val="hybridMultilevel"/>
    <w:tmpl w:val="158885A4"/>
    <w:lvl w:ilvl="0" w:tplc="BC3AA25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54E40"/>
    <w:multiLevelType w:val="hybridMultilevel"/>
    <w:tmpl w:val="638C7676"/>
    <w:lvl w:ilvl="0" w:tplc="040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8" w15:restartNumberingAfterBreak="0">
    <w:nsid w:val="283C3FA0"/>
    <w:multiLevelType w:val="hybridMultilevel"/>
    <w:tmpl w:val="9B80FA58"/>
    <w:lvl w:ilvl="0" w:tplc="0418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8361D42"/>
    <w:multiLevelType w:val="hybridMultilevel"/>
    <w:tmpl w:val="1478C0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A01AB"/>
    <w:multiLevelType w:val="hybridMultilevel"/>
    <w:tmpl w:val="7870DE3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102A36"/>
    <w:multiLevelType w:val="hybridMultilevel"/>
    <w:tmpl w:val="1F38224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25C56"/>
    <w:multiLevelType w:val="hybridMultilevel"/>
    <w:tmpl w:val="0C2AF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2186C"/>
    <w:multiLevelType w:val="hybridMultilevel"/>
    <w:tmpl w:val="21504F42"/>
    <w:lvl w:ilvl="0" w:tplc="04180003">
      <w:start w:val="1"/>
      <w:numFmt w:val="bullet"/>
      <w:lvlText w:val="o"/>
      <w:lvlJc w:val="left"/>
      <w:pPr>
        <w:ind w:left="715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4" w15:restartNumberingAfterBreak="0">
    <w:nsid w:val="4E350751"/>
    <w:multiLevelType w:val="multilevel"/>
    <w:tmpl w:val="B5423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EFD763F"/>
    <w:multiLevelType w:val="hybridMultilevel"/>
    <w:tmpl w:val="4204FACA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F60E6"/>
    <w:multiLevelType w:val="hybridMultilevel"/>
    <w:tmpl w:val="41F4BC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67D92"/>
    <w:multiLevelType w:val="hybridMultilevel"/>
    <w:tmpl w:val="2B1072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2DEC"/>
    <w:multiLevelType w:val="hybridMultilevel"/>
    <w:tmpl w:val="F4B207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D6528"/>
    <w:multiLevelType w:val="hybridMultilevel"/>
    <w:tmpl w:val="D77C61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7787E"/>
    <w:multiLevelType w:val="hybridMultilevel"/>
    <w:tmpl w:val="9F74AB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928CB"/>
    <w:multiLevelType w:val="hybridMultilevel"/>
    <w:tmpl w:val="891A2074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F29D7"/>
    <w:multiLevelType w:val="hybridMultilevel"/>
    <w:tmpl w:val="C8AE30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15402"/>
    <w:multiLevelType w:val="hybridMultilevel"/>
    <w:tmpl w:val="46B2AE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642F2"/>
    <w:multiLevelType w:val="hybridMultilevel"/>
    <w:tmpl w:val="024C7DC4"/>
    <w:lvl w:ilvl="0" w:tplc="040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16"/>
  </w:num>
  <w:num w:numId="9">
    <w:abstractNumId w:val="23"/>
  </w:num>
  <w:num w:numId="10">
    <w:abstractNumId w:val="17"/>
  </w:num>
  <w:num w:numId="11">
    <w:abstractNumId w:val="20"/>
  </w:num>
  <w:num w:numId="12">
    <w:abstractNumId w:val="14"/>
  </w:num>
  <w:num w:numId="13">
    <w:abstractNumId w:val="10"/>
  </w:num>
  <w:num w:numId="14">
    <w:abstractNumId w:val="6"/>
  </w:num>
  <w:num w:numId="15">
    <w:abstractNumId w:val="13"/>
  </w:num>
  <w:num w:numId="16">
    <w:abstractNumId w:val="22"/>
  </w:num>
  <w:num w:numId="17">
    <w:abstractNumId w:val="15"/>
  </w:num>
  <w:num w:numId="18">
    <w:abstractNumId w:val="18"/>
  </w:num>
  <w:num w:numId="19">
    <w:abstractNumId w:val="11"/>
  </w:num>
  <w:num w:numId="20">
    <w:abstractNumId w:val="12"/>
  </w:num>
  <w:num w:numId="21">
    <w:abstractNumId w:val="21"/>
  </w:num>
  <w:num w:numId="22">
    <w:abstractNumId w:val="9"/>
  </w:num>
  <w:num w:numId="23">
    <w:abstractNumId w:val="4"/>
  </w:num>
  <w:num w:numId="24">
    <w:abstractNumId w:val="1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2A7"/>
    <w:rsid w:val="001443E1"/>
    <w:rsid w:val="001F7284"/>
    <w:rsid w:val="00405891"/>
    <w:rsid w:val="005262A7"/>
    <w:rsid w:val="00595FDE"/>
    <w:rsid w:val="005D7ADF"/>
    <w:rsid w:val="00603841"/>
    <w:rsid w:val="00695DC1"/>
    <w:rsid w:val="006D63FB"/>
    <w:rsid w:val="008F3CA1"/>
    <w:rsid w:val="00977D58"/>
    <w:rsid w:val="00AE2E8F"/>
    <w:rsid w:val="00D364FD"/>
    <w:rsid w:val="00E9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A4F92"/>
  <w15:chartTrackingRefBased/>
  <w15:docId w15:val="{CAC27B99-691C-4DFF-A86E-038FC51A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5262A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26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262A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95FD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5FD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5</cp:revision>
  <dcterms:created xsi:type="dcterms:W3CDTF">2021-06-06T14:31:00Z</dcterms:created>
  <dcterms:modified xsi:type="dcterms:W3CDTF">2021-07-21T07:01:00Z</dcterms:modified>
</cp:coreProperties>
</file>